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B0030" w:rsidRDefault="005B0030" w:rsidP="005B0030">
      <w:pPr>
        <w:spacing w:line="480" w:lineRule="auto"/>
        <w:ind w:firstLine="720"/>
      </w:pPr>
    </w:p>
    <w:p w:rsidR="005B0030" w:rsidRDefault="005B0030" w:rsidP="005B0030">
      <w:pPr>
        <w:spacing w:line="480" w:lineRule="auto"/>
        <w:ind w:firstLine="720"/>
      </w:pPr>
    </w:p>
    <w:p w:rsidR="005B0030" w:rsidRDefault="005B0030" w:rsidP="005B0030">
      <w:pPr>
        <w:spacing w:line="480" w:lineRule="auto"/>
        <w:ind w:firstLine="720"/>
      </w:pPr>
    </w:p>
    <w:p w:rsidR="005B0030" w:rsidRDefault="005B0030" w:rsidP="005B0030">
      <w:pPr>
        <w:spacing w:line="480" w:lineRule="auto"/>
        <w:ind w:firstLine="720"/>
      </w:pPr>
    </w:p>
    <w:p w:rsidR="005B0030" w:rsidRDefault="005B0030" w:rsidP="005B0030">
      <w:pPr>
        <w:spacing w:line="480" w:lineRule="auto"/>
        <w:ind w:firstLine="720"/>
      </w:pPr>
    </w:p>
    <w:p w:rsidR="005B0030" w:rsidRDefault="005B0030" w:rsidP="005B0030">
      <w:pPr>
        <w:spacing w:line="480" w:lineRule="auto"/>
        <w:ind w:firstLine="720"/>
      </w:pPr>
    </w:p>
    <w:p w:rsidR="005B0030" w:rsidRDefault="005B0030" w:rsidP="005B0030">
      <w:pPr>
        <w:spacing w:line="480" w:lineRule="auto"/>
        <w:ind w:firstLine="720"/>
      </w:pPr>
    </w:p>
    <w:p w:rsidR="005B0030" w:rsidRDefault="005B0030" w:rsidP="005B0030">
      <w:pPr>
        <w:spacing w:line="480" w:lineRule="auto"/>
        <w:ind w:firstLine="720"/>
      </w:pPr>
    </w:p>
    <w:p w:rsidR="005B0030" w:rsidRDefault="00747020" w:rsidP="005B0030">
      <w:pPr>
        <w:spacing w:line="480" w:lineRule="auto"/>
        <w:jc w:val="center"/>
      </w:pPr>
      <w:r>
        <w:t>The Fruit of the Poisonous Tree</w:t>
      </w:r>
    </w:p>
    <w:p w:rsidR="005B0030" w:rsidRDefault="00747020" w:rsidP="005B0030">
      <w:pPr>
        <w:spacing w:line="480" w:lineRule="auto"/>
        <w:jc w:val="center"/>
      </w:pPr>
      <w:r>
        <w:t>Student’s Name</w:t>
      </w:r>
    </w:p>
    <w:p w:rsidR="005B0030" w:rsidRDefault="00747020" w:rsidP="005B0030">
      <w:pPr>
        <w:spacing w:line="480" w:lineRule="auto"/>
        <w:jc w:val="center"/>
      </w:pPr>
      <w:r>
        <w:t>Institutional Affiliation</w:t>
      </w:r>
      <w:r>
        <w:br w:type="page"/>
      </w:r>
    </w:p>
    <w:p w:rsidR="005B0030" w:rsidRDefault="00747020" w:rsidP="005B0030">
      <w:pPr>
        <w:spacing w:line="480" w:lineRule="auto"/>
        <w:jc w:val="center"/>
      </w:pPr>
      <w:r>
        <w:lastRenderedPageBreak/>
        <w:t xml:space="preserve">The Fruit of the Poisonous Tree </w:t>
      </w:r>
    </w:p>
    <w:p w:rsidR="00D033FA" w:rsidRDefault="00747020" w:rsidP="005B0030">
      <w:pPr>
        <w:spacing w:line="480" w:lineRule="auto"/>
        <w:ind w:firstLine="720"/>
      </w:pPr>
      <w:r>
        <w:t xml:space="preserve">The doctrine of the “fruit of the poisonous tree” was birthed from the Exclusionary Rule. The rule mandated that any evidence gotten from unreasonable </w:t>
      </w:r>
      <w:r w:rsidR="00C6406C">
        <w:t xml:space="preserve">search, any illegal arrest, or coercive interrogation must not be used during the trial. Under the doctrine of the fruit of the poisonous tree, the evidence must also be excluded from trial when such evidence is noticed to have been obtained through coercive interrogation, unreasonable task, or even an illegal arrest. Similar to the exclusionary law, the fundamental objective of establishing the doctrine of the fruit of the poisonous tree was to prevent law enforcement from going against the rights to seizures and unreasonable searches. </w:t>
      </w:r>
      <w:r w:rsidR="00C63436">
        <w:t>The fruit and the poisonous tree are both not included in a criminal trial</w:t>
      </w:r>
      <w:r w:rsidR="009D0F75">
        <w:t xml:space="preserve"> in four major exemptions that will be discussed later in this paper</w:t>
      </w:r>
      <w:r w:rsidR="00C63436">
        <w:t xml:space="preserve">. </w:t>
      </w:r>
    </w:p>
    <w:p w:rsidR="00125278" w:rsidRDefault="00747020" w:rsidP="005B0030">
      <w:pPr>
        <w:spacing w:line="480" w:lineRule="auto"/>
        <w:ind w:firstLine="720"/>
      </w:pPr>
      <w:r>
        <w:t xml:space="preserve">The exclusionary rule or "fruit of the poisonous tree" legal doctrine originated from a decision made by the United States Supreme on Silverthorne Lumber Co. v. the United States in the year 1920. It is an extension of another rule that had stated that any illegally seized evidence could not be used against the defendant in the Court. </w:t>
      </w:r>
      <w:r w:rsidR="00F11513">
        <w:t xml:space="preserve">The fourth constitutional amendment guarantees every citizen the right to security both at a personal level and in their homes. The important lesson to note in this matter is that </w:t>
      </w:r>
      <w:r w:rsidR="00047630">
        <w:t>a search of personal property and/or their body is illegal without probable cause or a warrant</w:t>
      </w:r>
      <w:r w:rsidR="009D0F75">
        <w:t xml:space="preserve"> (</w:t>
      </w:r>
      <w:r w:rsidR="009D0F75" w:rsidRPr="009D0F75">
        <w:rPr>
          <w:rFonts w:cs="Arial"/>
          <w:szCs w:val="20"/>
          <w:shd w:val="clear" w:color="auto" w:fill="FFFFFF"/>
        </w:rPr>
        <w:t>Thaman</w:t>
      </w:r>
      <w:r w:rsidR="009D0F75">
        <w:rPr>
          <w:rFonts w:cs="Arial"/>
          <w:szCs w:val="20"/>
          <w:shd w:val="clear" w:color="auto" w:fill="FFFFFF"/>
        </w:rPr>
        <w:t>, 2010)</w:t>
      </w:r>
      <w:r w:rsidR="00047630">
        <w:t>. For instance, if a coup retrieves a gun at the boot of someone's car, and had no justifiable reason to search the car, then the search is considered illegal, and the retrieved gun can and should not be admissible in a court of law. The search being illegal is what is termed to be the poisonous tree, and the outcome of the search</w:t>
      </w:r>
      <w:r w:rsidR="00C63436">
        <w:t xml:space="preserve">, which is the gun, is considered </w:t>
      </w:r>
      <w:r w:rsidR="00047630">
        <w:t>the fruit.</w:t>
      </w:r>
    </w:p>
    <w:p w:rsidR="00C63436" w:rsidRDefault="00747020" w:rsidP="005B0030">
      <w:pPr>
        <w:spacing w:line="480" w:lineRule="auto"/>
        <w:ind w:firstLine="720"/>
      </w:pPr>
      <w:r>
        <w:t xml:space="preserve">In </w:t>
      </w:r>
      <w:r w:rsidRPr="00C63436">
        <w:rPr>
          <w:i/>
        </w:rPr>
        <w:t>Silverthorne Lumber Co. v. United States</w:t>
      </w:r>
      <w:r>
        <w:t xml:space="preserve"> case, the poisonous tree and the fruit doctrine, as hinted by the Supreme Court, made everything clear. Fredrick W. Silverthorne had been arrested after being suspected of federal violations concerning his lumber business. Agents from the government conducted an illegal </w:t>
      </w:r>
      <w:r w:rsidR="002659EF">
        <w:t>and warrantless search at his offices. The prosecution asked for more documents based on the evidence discovered during the search, and Silverthorne was ordered by the Court to produce them. However, he refused to comply with the court order and was therefore jailed due to the Court's contempt.</w:t>
      </w:r>
    </w:p>
    <w:p w:rsidR="004675B1" w:rsidRDefault="00747020" w:rsidP="005B0030">
      <w:pPr>
        <w:spacing w:line="480" w:lineRule="auto"/>
        <w:ind w:firstLine="720"/>
      </w:pPr>
      <w:r>
        <w:t xml:space="preserve">The case was appealed, and the </w:t>
      </w:r>
      <w:r w:rsidR="001C4BA9">
        <w:t>Supreme Court</w:t>
      </w:r>
      <w:r>
        <w:t xml:space="preserve"> overturned the ruling of the High Court. The Court of appeal argued that the prosecution had no moral obligation to keep Silverthorne's documents and that the search conducted by government agents was illegal. </w:t>
      </w:r>
      <w:r w:rsidR="001C4BA9">
        <w:t>Although the government conceded with the Supreme Court's argument, it maintained that it had the authority to copy the documents to use the information obtained for future prosecution</w:t>
      </w:r>
      <w:r w:rsidR="009D0F75">
        <w:t xml:space="preserve"> (</w:t>
      </w:r>
      <w:r w:rsidR="009D0F75">
        <w:rPr>
          <w:rFonts w:cs="Arial"/>
          <w:szCs w:val="20"/>
          <w:shd w:val="clear" w:color="auto" w:fill="FFFFFF"/>
        </w:rPr>
        <w:t>Jurkevich</w:t>
      </w:r>
      <w:r w:rsidR="009D0F75" w:rsidRPr="009D0F75">
        <w:rPr>
          <w:rFonts w:cs="Arial"/>
          <w:szCs w:val="20"/>
          <w:shd w:val="clear" w:color="auto" w:fill="FFFFFF"/>
        </w:rPr>
        <w:t xml:space="preserve"> &amp; Smits</w:t>
      </w:r>
      <w:r w:rsidR="009D0F75">
        <w:rPr>
          <w:rFonts w:cs="Arial"/>
          <w:szCs w:val="20"/>
          <w:shd w:val="clear" w:color="auto" w:fill="FFFFFF"/>
        </w:rPr>
        <w:t>, 2019</w:t>
      </w:r>
      <w:r w:rsidR="009D0F75">
        <w:t>)</w:t>
      </w:r>
      <w:r w:rsidR="001C4BA9">
        <w:t>. Still, the Court did not agree with the government's plea. According to the Supreme Court, the reason as to why the acquisition of evidence was forbidden is to ensure that the same is never used in any other way.</w:t>
      </w:r>
    </w:p>
    <w:p w:rsidR="00670301" w:rsidRDefault="00747020" w:rsidP="00670301">
      <w:pPr>
        <w:spacing w:line="480" w:lineRule="auto"/>
        <w:ind w:firstLine="720"/>
      </w:pPr>
      <w:r>
        <w:t>The fruit of the poisonous tree doctrine can apply in a situation where the police are questioning one. The suspect would request access to a good attorney, but the police decide to ignore the suspect and continue questioning them. After a while, due to pressure from other quotas and the tiredness from the harassment from the interrogation, the suspect ends up confessing to having participated in a crime. Such a confession is invalid because the police failed to grant the suspect the right to get a lawyer. However, it is important to note that there are exceptions to this rule where in most cases, they are four. One of the exemption is that evidence could have been obtained in part due to a different independent source or one that has not been tainted. The other exemption is a situation where there were other avenues that would have led to the discovery of the evidence despite the fact that one avenue has already been tainted. The third exemption is when there exists an attenuation between the illegal activity committed and the discovery by law enforcement bodies. The final exemption is when the government agents are proved to be acting in good faith even though they conduct a search without a warrant.</w:t>
      </w:r>
    </w:p>
    <w:p w:rsidR="004675B1" w:rsidRDefault="00747020" w:rsidP="005B0030">
      <w:pPr>
        <w:spacing w:line="480" w:lineRule="auto"/>
        <w:ind w:firstLine="720"/>
      </w:pPr>
      <w:r>
        <w:t>Implementation of the exclusionary rule should be done with utmost care to avoid protecting criminals in the name of upholding their rights. One good example of hypothetical circumstances where this rule would affect the evidence submitted by police officers in a court case in a negative way from the perspective of the prosecution is when a bank robber hides under this rule to frustrate the process of investigation</w:t>
      </w:r>
      <w:r w:rsidR="009D0F75">
        <w:t xml:space="preserve"> (</w:t>
      </w:r>
      <w:r w:rsidR="009D0F75">
        <w:rPr>
          <w:rFonts w:cs="Arial"/>
          <w:szCs w:val="20"/>
          <w:shd w:val="clear" w:color="auto" w:fill="FFFFFF"/>
        </w:rPr>
        <w:t xml:space="preserve">Bain </w:t>
      </w:r>
      <w:r w:rsidR="009D0F75" w:rsidRPr="009D0F75">
        <w:rPr>
          <w:rFonts w:cs="Arial"/>
          <w:szCs w:val="20"/>
          <w:shd w:val="clear" w:color="auto" w:fill="FFFFFF"/>
        </w:rPr>
        <w:t>&amp; Kelly</w:t>
      </w:r>
      <w:r w:rsidR="009D0F75">
        <w:rPr>
          <w:rFonts w:cs="Arial"/>
          <w:szCs w:val="20"/>
          <w:shd w:val="clear" w:color="auto" w:fill="FFFFFF"/>
        </w:rPr>
        <w:t>, 1976)</w:t>
      </w:r>
      <w:r>
        <w:t xml:space="preserve">. Another such situation would be an armed robber refusing to be searched and then getting away with it only to execute a harmful exercise. In the above-mentioned cases, the rule would negatively affect prosecution; hence, it might appear to be protecting lawbreakers.  </w:t>
      </w:r>
    </w:p>
    <w:p w:rsidR="00670301" w:rsidRDefault="00670301" w:rsidP="005B0030">
      <w:pPr>
        <w:spacing w:line="480" w:lineRule="auto"/>
        <w:ind w:firstLine="720"/>
      </w:pPr>
      <w:r>
        <w:t xml:space="preserve">Since the criminal justice system, that is, the prisons, law enforcement organs, and the courts are not perfect, there is need to create order to enable the system work at all the procedures, principles, and laws brought fourth. By doing so, fairness in the administration of laws and treatment of defendants in the criminal justice process is attained. The fruit of the poisonous tree doctrine is therefore crucial and must be upheld at all cost. </w:t>
      </w:r>
    </w:p>
    <w:p w:rsidR="009D0F75" w:rsidRDefault="009D0F75" w:rsidP="009D0F75">
      <w:pPr>
        <w:spacing w:line="480" w:lineRule="auto"/>
        <w:jc w:val="center"/>
      </w:pPr>
      <w:r>
        <w:br w:type="page"/>
      </w:r>
    </w:p>
    <w:p w:rsidR="009D0F75" w:rsidRDefault="009D0F75" w:rsidP="009D0F75">
      <w:pPr>
        <w:spacing w:line="480" w:lineRule="auto"/>
        <w:jc w:val="center"/>
      </w:pPr>
      <w:r>
        <w:t>References</w:t>
      </w:r>
    </w:p>
    <w:p w:rsidR="009D0F75" w:rsidRPr="009D0F75" w:rsidRDefault="009D0F75" w:rsidP="009D0F75">
      <w:pPr>
        <w:spacing w:line="480" w:lineRule="auto"/>
        <w:ind w:left="720" w:hanging="720"/>
        <w:rPr>
          <w:rFonts w:cs="Arial"/>
          <w:szCs w:val="20"/>
          <w:shd w:val="clear" w:color="auto" w:fill="FFFFFF"/>
        </w:rPr>
      </w:pPr>
      <w:r w:rsidRPr="009D0F75">
        <w:rPr>
          <w:rFonts w:cs="Arial"/>
          <w:szCs w:val="20"/>
          <w:shd w:val="clear" w:color="auto" w:fill="FFFFFF"/>
        </w:rPr>
        <w:t>Bain, J. M., &amp; Kelly, M. K. (1976). Fruit of the poisonous tree: recent developments as viewed through its exceptions. </w:t>
      </w:r>
      <w:r w:rsidRPr="009D0F75">
        <w:rPr>
          <w:rFonts w:cs="Arial"/>
          <w:i/>
          <w:iCs/>
          <w:szCs w:val="20"/>
          <w:shd w:val="clear" w:color="auto" w:fill="FFFFFF"/>
        </w:rPr>
        <w:t>U. Miami L. Rev.</w:t>
      </w:r>
      <w:r w:rsidRPr="009D0F75">
        <w:rPr>
          <w:rFonts w:cs="Arial"/>
          <w:szCs w:val="20"/>
          <w:shd w:val="clear" w:color="auto" w:fill="FFFFFF"/>
        </w:rPr>
        <w:t>, </w:t>
      </w:r>
      <w:r w:rsidRPr="009D0F75">
        <w:rPr>
          <w:rFonts w:cs="Arial"/>
          <w:i/>
          <w:iCs/>
          <w:szCs w:val="20"/>
          <w:shd w:val="clear" w:color="auto" w:fill="FFFFFF"/>
        </w:rPr>
        <w:t>31</w:t>
      </w:r>
      <w:r w:rsidRPr="009D0F75">
        <w:rPr>
          <w:rFonts w:cs="Arial"/>
          <w:szCs w:val="20"/>
          <w:shd w:val="clear" w:color="auto" w:fill="FFFFFF"/>
        </w:rPr>
        <w:t>, 615.</w:t>
      </w:r>
    </w:p>
    <w:p w:rsidR="009D0F75" w:rsidRPr="009D0F75" w:rsidRDefault="009D0F75" w:rsidP="009D0F75">
      <w:pPr>
        <w:spacing w:line="480" w:lineRule="auto"/>
        <w:ind w:left="720" w:hanging="720"/>
      </w:pPr>
      <w:r w:rsidRPr="009D0F75">
        <w:rPr>
          <w:rFonts w:cs="Arial"/>
          <w:szCs w:val="20"/>
          <w:shd w:val="clear" w:color="auto" w:fill="FFFFFF"/>
        </w:rPr>
        <w:t xml:space="preserve">Jurkevich, T., &amp; Smits, K. (2019). </w:t>
      </w:r>
      <w:r w:rsidR="00D50B9D" w:rsidRPr="009D0F75">
        <w:rPr>
          <w:rFonts w:cs="Arial"/>
          <w:szCs w:val="20"/>
          <w:shd w:val="clear" w:color="auto" w:fill="FFFFFF"/>
        </w:rPr>
        <w:t>The Doctrine of Fruit of the Poisonous Tree in the Realities of Latvian Criminal P</w:t>
      </w:r>
      <w:bookmarkStart w:id="0" w:name="_GoBack"/>
      <w:bookmarkEnd w:id="0"/>
      <w:r w:rsidR="00D50B9D" w:rsidRPr="009D0F75">
        <w:rPr>
          <w:rFonts w:cs="Arial"/>
          <w:szCs w:val="20"/>
          <w:shd w:val="clear" w:color="auto" w:fill="FFFFFF"/>
        </w:rPr>
        <w:t>roceedings</w:t>
      </w:r>
      <w:r w:rsidRPr="009D0F75">
        <w:rPr>
          <w:rFonts w:cs="Arial"/>
          <w:szCs w:val="20"/>
          <w:shd w:val="clear" w:color="auto" w:fill="FFFFFF"/>
        </w:rPr>
        <w:t>. In </w:t>
      </w:r>
      <w:r w:rsidRPr="009D0F75">
        <w:rPr>
          <w:rFonts w:cs="Arial"/>
          <w:i/>
          <w:iCs/>
          <w:szCs w:val="20"/>
          <w:shd w:val="clear" w:color="auto" w:fill="FFFFFF"/>
        </w:rPr>
        <w:t>6th SWS International Scientific Conferences on social sciences 2019</w:t>
      </w:r>
      <w:r w:rsidRPr="009D0F75">
        <w:rPr>
          <w:rFonts w:cs="Arial"/>
          <w:szCs w:val="20"/>
          <w:shd w:val="clear" w:color="auto" w:fill="FFFFFF"/>
        </w:rPr>
        <w:t> (pp. 205-212).</w:t>
      </w:r>
    </w:p>
    <w:p w:rsidR="009D0F75" w:rsidRPr="009D0F75" w:rsidRDefault="009D0F75" w:rsidP="009D0F75">
      <w:pPr>
        <w:spacing w:line="480" w:lineRule="auto"/>
        <w:ind w:left="720" w:hanging="720"/>
        <w:rPr>
          <w:rFonts w:cs="Arial"/>
          <w:szCs w:val="20"/>
          <w:shd w:val="clear" w:color="auto" w:fill="FFFFFF"/>
        </w:rPr>
      </w:pPr>
      <w:r w:rsidRPr="009D0F75">
        <w:rPr>
          <w:rFonts w:cs="Arial"/>
          <w:szCs w:val="20"/>
          <w:shd w:val="clear" w:color="auto" w:fill="FFFFFF"/>
        </w:rPr>
        <w:t>Thaman, S. C. (2010). Fruits of the poisonous tree in comparative law. </w:t>
      </w:r>
      <w:r w:rsidRPr="009D0F75">
        <w:rPr>
          <w:rFonts w:cs="Arial"/>
          <w:i/>
          <w:iCs/>
          <w:szCs w:val="20"/>
          <w:shd w:val="clear" w:color="auto" w:fill="FFFFFF"/>
        </w:rPr>
        <w:t>Sw. J. Int'l L.</w:t>
      </w:r>
      <w:r w:rsidRPr="009D0F75">
        <w:rPr>
          <w:rFonts w:cs="Arial"/>
          <w:szCs w:val="20"/>
          <w:shd w:val="clear" w:color="auto" w:fill="FFFFFF"/>
        </w:rPr>
        <w:t>, </w:t>
      </w:r>
      <w:r w:rsidRPr="009D0F75">
        <w:rPr>
          <w:rFonts w:cs="Arial"/>
          <w:i/>
          <w:iCs/>
          <w:szCs w:val="20"/>
          <w:shd w:val="clear" w:color="auto" w:fill="FFFFFF"/>
        </w:rPr>
        <w:t>16</w:t>
      </w:r>
      <w:r w:rsidRPr="009D0F75">
        <w:rPr>
          <w:rFonts w:cs="Arial"/>
          <w:szCs w:val="20"/>
          <w:shd w:val="clear" w:color="auto" w:fill="FFFFFF"/>
        </w:rPr>
        <w:t>, 333.</w:t>
      </w:r>
    </w:p>
    <w:p w:rsidR="00670301" w:rsidRPr="004675B1" w:rsidRDefault="00670301" w:rsidP="005B0030">
      <w:pPr>
        <w:spacing w:line="480" w:lineRule="auto"/>
        <w:ind w:firstLine="720"/>
      </w:pPr>
    </w:p>
    <w:sectPr w:rsidR="00670301" w:rsidRPr="004675B1" w:rsidSect="005B0030">
      <w:headerReference w:type="default" r:id="rId7"/>
      <w:headerReference w:type="first" r:id="rId8"/>
      <w:pgSz w:w="12240" w:h="15840"/>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F65AC" w:rsidRDefault="003F65AC">
      <w:pPr>
        <w:spacing w:line="240" w:lineRule="auto"/>
      </w:pPr>
      <w:r>
        <w:separator/>
      </w:r>
    </w:p>
  </w:endnote>
  <w:endnote w:type="continuationSeparator" w:id="0">
    <w:p w:rsidR="003F65AC" w:rsidRDefault="003F65AC">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F65AC" w:rsidRDefault="003F65AC">
      <w:pPr>
        <w:spacing w:line="240" w:lineRule="auto"/>
      </w:pPr>
      <w:r>
        <w:separator/>
      </w:r>
    </w:p>
  </w:footnote>
  <w:footnote w:type="continuationSeparator" w:id="0">
    <w:p w:rsidR="003F65AC" w:rsidRDefault="003F65AC">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641990624"/>
      <w:docPartObj>
        <w:docPartGallery w:val="Page Numbers (Top of Page)"/>
        <w:docPartUnique/>
      </w:docPartObj>
    </w:sdtPr>
    <w:sdtEndPr>
      <w:rPr>
        <w:noProof/>
      </w:rPr>
    </w:sdtEndPr>
    <w:sdtContent>
      <w:p w:rsidR="005B0030" w:rsidRDefault="00747020">
        <w:pPr>
          <w:pStyle w:val="Header"/>
          <w:jc w:val="right"/>
        </w:pPr>
        <w:r>
          <w:t>THE FRUIT OF THE POISONOUS TREE</w:t>
        </w:r>
        <w:r>
          <w:tab/>
        </w:r>
        <w:r>
          <w:tab/>
        </w:r>
        <w:r>
          <w:fldChar w:fldCharType="begin"/>
        </w:r>
        <w:r>
          <w:instrText xml:space="preserve"> PAGE   \* MERGEFORMAT </w:instrText>
        </w:r>
        <w:r>
          <w:fldChar w:fldCharType="separate"/>
        </w:r>
        <w:r w:rsidR="00D50B9D">
          <w:rPr>
            <w:noProof/>
          </w:rPr>
          <w:t>5</w:t>
        </w:r>
        <w:r>
          <w:rPr>
            <w:noProof/>
          </w:rPr>
          <w:fldChar w:fldCharType="end"/>
        </w:r>
      </w:p>
    </w:sdtContent>
  </w:sdt>
  <w:p w:rsidR="005B0030" w:rsidRDefault="005B0030">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62543558"/>
      <w:docPartObj>
        <w:docPartGallery w:val="Page Numbers (Top of Page)"/>
        <w:docPartUnique/>
      </w:docPartObj>
    </w:sdtPr>
    <w:sdtEndPr>
      <w:rPr>
        <w:noProof/>
      </w:rPr>
    </w:sdtEndPr>
    <w:sdtContent>
      <w:p w:rsidR="005B0030" w:rsidRDefault="00747020" w:rsidP="005B0030">
        <w:pPr>
          <w:pStyle w:val="Header"/>
          <w:jc w:val="right"/>
        </w:pPr>
        <w:r>
          <w:t>Running head: THE FRUIT OF THE POISONOUS TREE</w:t>
        </w:r>
        <w:r>
          <w:tab/>
        </w:r>
        <w:r>
          <w:fldChar w:fldCharType="begin"/>
        </w:r>
        <w:r>
          <w:instrText xml:space="preserve"> PAGE   \* MERGEFORMAT </w:instrText>
        </w:r>
        <w:r>
          <w:fldChar w:fldCharType="separate"/>
        </w:r>
        <w:r w:rsidR="003F65AC">
          <w:rPr>
            <w:noProof/>
          </w:rPr>
          <w:t>1</w:t>
        </w:r>
        <w:r>
          <w:rPr>
            <w:noProof/>
          </w:rPr>
          <w:fldChar w:fldCharType="end"/>
        </w:r>
      </w:p>
    </w:sdtContent>
  </w:sdt>
  <w:p w:rsidR="005B0030" w:rsidRDefault="005B0030">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04BA6"/>
    <w:rsid w:val="00047630"/>
    <w:rsid w:val="00125278"/>
    <w:rsid w:val="001C4BA9"/>
    <w:rsid w:val="002659EF"/>
    <w:rsid w:val="003F65AC"/>
    <w:rsid w:val="004675B1"/>
    <w:rsid w:val="005B0030"/>
    <w:rsid w:val="00670301"/>
    <w:rsid w:val="00747020"/>
    <w:rsid w:val="00857AA3"/>
    <w:rsid w:val="009D0F75"/>
    <w:rsid w:val="00C63436"/>
    <w:rsid w:val="00C6406C"/>
    <w:rsid w:val="00D033FA"/>
    <w:rsid w:val="00D04BA6"/>
    <w:rsid w:val="00D50B9D"/>
    <w:rsid w:val="00DD3678"/>
    <w:rsid w:val="00DE4105"/>
    <w:rsid w:val="00E11612"/>
    <w:rsid w:val="00F1151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heme="minorBidi"/>
        <w:sz w:val="24"/>
        <w:szCs w:val="22"/>
        <w:lang w:val="en-US" w:eastAsia="en-US" w:bidi="ar-SA"/>
      </w:rPr>
    </w:rPrDefault>
    <w:pPrDefault>
      <w:pPr>
        <w:spacing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B0030"/>
    <w:pPr>
      <w:tabs>
        <w:tab w:val="center" w:pos="4680"/>
        <w:tab w:val="right" w:pos="9360"/>
      </w:tabs>
      <w:spacing w:line="240" w:lineRule="auto"/>
    </w:pPr>
  </w:style>
  <w:style w:type="character" w:customStyle="1" w:styleId="HeaderChar">
    <w:name w:val="Header Char"/>
    <w:basedOn w:val="DefaultParagraphFont"/>
    <w:link w:val="Header"/>
    <w:uiPriority w:val="99"/>
    <w:rsid w:val="005B0030"/>
  </w:style>
  <w:style w:type="paragraph" w:styleId="Footer">
    <w:name w:val="footer"/>
    <w:basedOn w:val="Normal"/>
    <w:link w:val="FooterChar"/>
    <w:uiPriority w:val="99"/>
    <w:unhideWhenUsed/>
    <w:rsid w:val="005B0030"/>
    <w:pPr>
      <w:tabs>
        <w:tab w:val="center" w:pos="4680"/>
        <w:tab w:val="right" w:pos="9360"/>
      </w:tabs>
      <w:spacing w:line="240" w:lineRule="auto"/>
    </w:pPr>
  </w:style>
  <w:style w:type="character" w:customStyle="1" w:styleId="FooterChar">
    <w:name w:val="Footer Char"/>
    <w:basedOn w:val="DefaultParagraphFont"/>
    <w:link w:val="Footer"/>
    <w:uiPriority w:val="99"/>
    <w:rsid w:val="005B0030"/>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heme="minorBidi"/>
        <w:sz w:val="24"/>
        <w:szCs w:val="22"/>
        <w:lang w:val="en-US" w:eastAsia="en-US" w:bidi="ar-SA"/>
      </w:rPr>
    </w:rPrDefault>
    <w:pPrDefault>
      <w:pPr>
        <w:spacing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B0030"/>
    <w:pPr>
      <w:tabs>
        <w:tab w:val="center" w:pos="4680"/>
        <w:tab w:val="right" w:pos="9360"/>
      </w:tabs>
      <w:spacing w:line="240" w:lineRule="auto"/>
    </w:pPr>
  </w:style>
  <w:style w:type="character" w:customStyle="1" w:styleId="HeaderChar">
    <w:name w:val="Header Char"/>
    <w:basedOn w:val="DefaultParagraphFont"/>
    <w:link w:val="Header"/>
    <w:uiPriority w:val="99"/>
    <w:rsid w:val="005B0030"/>
  </w:style>
  <w:style w:type="paragraph" w:styleId="Footer">
    <w:name w:val="footer"/>
    <w:basedOn w:val="Normal"/>
    <w:link w:val="FooterChar"/>
    <w:uiPriority w:val="99"/>
    <w:unhideWhenUsed/>
    <w:rsid w:val="005B0030"/>
    <w:pPr>
      <w:tabs>
        <w:tab w:val="center" w:pos="4680"/>
        <w:tab w:val="right" w:pos="9360"/>
      </w:tabs>
      <w:spacing w:line="240" w:lineRule="auto"/>
    </w:pPr>
  </w:style>
  <w:style w:type="character" w:customStyle="1" w:styleId="FooterChar">
    <w:name w:val="Footer Char"/>
    <w:basedOn w:val="DefaultParagraphFont"/>
    <w:link w:val="Footer"/>
    <w:uiPriority w:val="99"/>
    <w:rsid w:val="005B003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910</Words>
  <Characters>5192</Characters>
  <Application>Microsoft Office Word</Application>
  <DocSecurity>0</DocSecurity>
  <Lines>43</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6090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Simon</cp:lastModifiedBy>
  <cp:revision>2</cp:revision>
  <dcterms:created xsi:type="dcterms:W3CDTF">2020-09-23T17:19:00Z</dcterms:created>
  <dcterms:modified xsi:type="dcterms:W3CDTF">2020-09-23T17:19:00Z</dcterms:modified>
</cp:coreProperties>
</file>